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A4EE7" w:rsidRDefault="00692CCA" w:rsidP="00EA4EE7">
      <w:pPr>
        <w:jc w:val="center"/>
        <w:rPr>
          <w:rFonts w:asciiTheme="minorHAnsi" w:hAnsiTheme="minorHAnsi"/>
        </w:rPr>
      </w:pPr>
      <w:r w:rsidRPr="00EA4EE7">
        <w:rPr>
          <w:rFonts w:asciiTheme="minorHAnsi" w:hAnsiTheme="minorHAnsi"/>
          <w:b/>
          <w:i/>
        </w:rPr>
        <w:t>Citizens United v. Federal Elections Commission</w:t>
      </w:r>
      <w:r w:rsidRPr="00EA4EE7">
        <w:rPr>
          <w:rFonts w:asciiTheme="minorHAnsi" w:hAnsiTheme="minorHAnsi"/>
        </w:rPr>
        <w:t>, 558 U.S. ___ (2010).</w:t>
      </w:r>
    </w:p>
    <w:p w:rsidR="00000000" w:rsidRPr="00EA4EE7" w:rsidRDefault="00692CCA" w:rsidP="00EA4EE7">
      <w:pPr>
        <w:jc w:val="center"/>
        <w:rPr>
          <w:rFonts w:asciiTheme="minorHAnsi" w:hAnsiTheme="minorHAnsi"/>
        </w:rPr>
      </w:pPr>
      <w:r w:rsidRPr="00EA4EE7">
        <w:rPr>
          <w:rFonts w:asciiTheme="minorHAnsi" w:hAnsiTheme="minorHAnsi"/>
        </w:rPr>
        <w:t>Argued:  March 24, 2009; Reargued: September 9, 2009</w:t>
      </w:r>
    </w:p>
    <w:p w:rsidR="00000000" w:rsidRPr="00EA4EE7" w:rsidRDefault="00692CCA" w:rsidP="00EA4EE7">
      <w:pPr>
        <w:jc w:val="center"/>
        <w:rPr>
          <w:rFonts w:asciiTheme="minorHAnsi" w:hAnsiTheme="minorHAnsi"/>
        </w:rPr>
      </w:pPr>
      <w:r w:rsidRPr="00EA4EE7">
        <w:rPr>
          <w:rFonts w:asciiTheme="minorHAnsi" w:hAnsiTheme="minorHAnsi"/>
        </w:rPr>
        <w:t>Decided: January 21, 2010</w:t>
      </w:r>
    </w:p>
    <w:p w:rsidR="00000000" w:rsidRPr="00EA4EE7" w:rsidRDefault="00692CCA" w:rsidP="00EA4EE7">
      <w:pPr>
        <w:jc w:val="center"/>
        <w:rPr>
          <w:rFonts w:asciiTheme="minorHAnsi" w:hAnsiTheme="minorHAnsi"/>
        </w:rPr>
      </w:pPr>
    </w:p>
    <w:p w:rsidR="00000000" w:rsidRPr="00EA4EE7" w:rsidRDefault="00692CCA">
      <w:pPr>
        <w:rPr>
          <w:rFonts w:asciiTheme="minorHAnsi" w:hAnsiTheme="minorHAnsi"/>
        </w:rPr>
      </w:pPr>
      <w:r w:rsidRPr="00EA4EE7">
        <w:rPr>
          <w:rFonts w:asciiTheme="minorHAnsi" w:hAnsiTheme="minorHAnsi"/>
          <w:b/>
        </w:rPr>
        <w:t>FACTS</w:t>
      </w:r>
      <w:r w:rsidRPr="00EA4EE7">
        <w:rPr>
          <w:rFonts w:asciiTheme="minorHAnsi" w:hAnsiTheme="minorHAnsi"/>
        </w:rPr>
        <w:t>:  Citizens United is a non-profit corporation that pays for the production and broadcast of politica</w:t>
      </w:r>
      <w:r w:rsidRPr="00EA4EE7">
        <w:rPr>
          <w:rFonts w:asciiTheme="minorHAnsi" w:hAnsiTheme="minorHAnsi"/>
        </w:rPr>
        <w:t xml:space="preserve">l messages and ads.  It is funded mostly by individuals.  In January 2008, Citizens United released a film entitled, </w:t>
      </w:r>
      <w:r w:rsidRPr="00EA4EE7">
        <w:rPr>
          <w:rFonts w:asciiTheme="minorHAnsi" w:hAnsiTheme="minorHAnsi"/>
          <w:i/>
        </w:rPr>
        <w:t xml:space="preserve">Hillary: </w:t>
      </w:r>
      <w:proofErr w:type="gramStart"/>
      <w:r w:rsidRPr="00EA4EE7">
        <w:rPr>
          <w:rFonts w:asciiTheme="minorHAnsi" w:hAnsiTheme="minorHAnsi"/>
          <w:i/>
        </w:rPr>
        <w:t>The</w:t>
      </w:r>
      <w:proofErr w:type="gramEnd"/>
      <w:r w:rsidRPr="00EA4EE7">
        <w:rPr>
          <w:rFonts w:asciiTheme="minorHAnsi" w:hAnsiTheme="minorHAnsi"/>
          <w:i/>
        </w:rPr>
        <w:t xml:space="preserve"> Movie</w:t>
      </w:r>
      <w:r w:rsidRPr="00EA4EE7">
        <w:rPr>
          <w:rFonts w:asciiTheme="minorHAnsi" w:hAnsiTheme="minorHAnsi"/>
        </w:rPr>
        <w:t>.  This film was a 90-minute documentary about then-Senator Hillary Clinton, who was a candidate for the Democratic presi</w:t>
      </w:r>
      <w:r w:rsidRPr="00EA4EE7">
        <w:rPr>
          <w:rFonts w:asciiTheme="minorHAnsi" w:hAnsiTheme="minorHAnsi"/>
        </w:rPr>
        <w:t xml:space="preserve">dential nomination and was running in various state primaries.  The film featured political commentators and other people who were </w:t>
      </w:r>
      <w:r w:rsidRPr="00EA4EE7">
        <w:rPr>
          <w:rFonts w:asciiTheme="minorHAnsi" w:hAnsiTheme="minorHAnsi"/>
        </w:rPr>
        <w:t>critical of Senator Clinton.  The film was released in theaters and on DVDs.  Citizens United wanted to increase the di</w:t>
      </w:r>
      <w:r w:rsidRPr="00EA4EE7">
        <w:rPr>
          <w:rFonts w:asciiTheme="minorHAnsi" w:hAnsiTheme="minorHAnsi"/>
        </w:rPr>
        <w:t>stribution and impact of the film.  It sought to have the film broadcast on a video-on-</w:t>
      </w:r>
      <w:proofErr w:type="gramStart"/>
      <w:r w:rsidRPr="00EA4EE7">
        <w:rPr>
          <w:rFonts w:asciiTheme="minorHAnsi" w:hAnsiTheme="minorHAnsi"/>
        </w:rPr>
        <w:t>demand</w:t>
      </w:r>
      <w:proofErr w:type="gramEnd"/>
      <w:r w:rsidRPr="00EA4EE7">
        <w:rPr>
          <w:rFonts w:asciiTheme="minorHAnsi" w:hAnsiTheme="minorHAnsi"/>
        </w:rPr>
        <w:t xml:space="preserve"> cable network.  </w:t>
      </w:r>
    </w:p>
    <w:p w:rsidR="00000000" w:rsidRPr="00EA4EE7" w:rsidRDefault="00692CCA">
      <w:pPr>
        <w:rPr>
          <w:rFonts w:asciiTheme="minorHAnsi" w:hAnsiTheme="minorHAnsi"/>
        </w:rPr>
      </w:pPr>
    </w:p>
    <w:p w:rsidR="00000000" w:rsidRPr="00EA4EE7" w:rsidRDefault="00692CCA">
      <w:pPr>
        <w:rPr>
          <w:rFonts w:asciiTheme="minorHAnsi" w:hAnsiTheme="minorHAnsi"/>
        </w:rPr>
      </w:pPr>
      <w:r w:rsidRPr="00EA4EE7">
        <w:rPr>
          <w:rFonts w:asciiTheme="minorHAnsi" w:hAnsiTheme="minorHAnsi"/>
        </w:rPr>
        <w:t>Citizens United was prepared to pay for the video-on-demand.  To promote the film, it produced two 10-second ads and on 30-second ad.  Each ad i</w:t>
      </w:r>
      <w:r w:rsidRPr="00EA4EE7">
        <w:rPr>
          <w:rFonts w:asciiTheme="minorHAnsi" w:hAnsiTheme="minorHAnsi"/>
        </w:rPr>
        <w:t xml:space="preserve">ncluded a critical statement about Senator Clinton </w:t>
      </w:r>
      <w:r w:rsidR="00EA4EE7">
        <w:rPr>
          <w:rFonts w:asciiTheme="minorHAnsi" w:hAnsiTheme="minorHAnsi"/>
        </w:rPr>
        <w:t>that</w:t>
      </w:r>
      <w:r w:rsidRPr="00EA4EE7">
        <w:rPr>
          <w:rFonts w:asciiTheme="minorHAnsi" w:hAnsiTheme="minorHAnsi"/>
        </w:rPr>
        <w:t xml:space="preserve"> was followed by the name of the movie.  Citizens United </w:t>
      </w:r>
      <w:r w:rsidR="00EA4EE7">
        <w:rPr>
          <w:rFonts w:asciiTheme="minorHAnsi" w:hAnsiTheme="minorHAnsi"/>
        </w:rPr>
        <w:t xml:space="preserve">wanted </w:t>
      </w:r>
      <w:r w:rsidRPr="00EA4EE7">
        <w:rPr>
          <w:rFonts w:asciiTheme="minorHAnsi" w:hAnsiTheme="minorHAnsi"/>
        </w:rPr>
        <w:t>to promote the video-on-demand by running advertisements on broadcast and cable television.</w:t>
      </w:r>
    </w:p>
    <w:p w:rsidR="00000000" w:rsidRPr="00EA4EE7" w:rsidRDefault="00692CCA">
      <w:pPr>
        <w:rPr>
          <w:rFonts w:asciiTheme="minorHAnsi" w:hAnsiTheme="minorHAnsi"/>
        </w:rPr>
      </w:pPr>
    </w:p>
    <w:p w:rsidR="00000000" w:rsidRPr="00EA4EE7" w:rsidRDefault="00692CCA">
      <w:pPr>
        <w:rPr>
          <w:rFonts w:asciiTheme="minorHAnsi" w:hAnsiTheme="minorHAnsi"/>
        </w:rPr>
      </w:pPr>
      <w:r w:rsidRPr="00EA4EE7">
        <w:rPr>
          <w:rFonts w:asciiTheme="minorHAnsi" w:hAnsiTheme="minorHAnsi"/>
        </w:rPr>
        <w:t>The Federal Elections Commission (FEC) is a</w:t>
      </w:r>
      <w:r w:rsidRPr="00EA4EE7">
        <w:rPr>
          <w:rFonts w:asciiTheme="minorHAnsi" w:hAnsiTheme="minorHAnsi"/>
        </w:rPr>
        <w:t xml:space="preserve"> US government agency that oversees compliance with federal election laws and regulations.  The Bipartisan Campaign Reform Act (BCRA) prevents corporations or labor unions from using general treasury funds to make direct contributions to candidates. It als</w:t>
      </w:r>
      <w:r w:rsidRPr="00EA4EE7">
        <w:rPr>
          <w:rFonts w:asciiTheme="minorHAnsi" w:hAnsiTheme="minorHAnsi"/>
        </w:rPr>
        <w:t>o bans independent expenditures that expressly advocate the election or defeat of a candidate, through any form of media, in connection with certain federal elections.  The intent of the BCRA was to regulate the amount and impact of “big money” campaign co</w:t>
      </w:r>
      <w:r w:rsidRPr="00EA4EE7">
        <w:rPr>
          <w:rFonts w:asciiTheme="minorHAnsi" w:hAnsiTheme="minorHAnsi"/>
        </w:rPr>
        <w:t xml:space="preserve">ntributions.  Corporations and unions </w:t>
      </w:r>
      <w:r w:rsidR="00EA4EE7">
        <w:rPr>
          <w:rFonts w:asciiTheme="minorHAnsi" w:hAnsiTheme="minorHAnsi"/>
        </w:rPr>
        <w:t xml:space="preserve">are permitted to </w:t>
      </w:r>
      <w:r w:rsidRPr="00EA4EE7">
        <w:rPr>
          <w:rFonts w:asciiTheme="minorHAnsi" w:hAnsiTheme="minorHAnsi"/>
        </w:rPr>
        <w:t>establish political action committees (PACs) for express advocacy or election communication purposes.</w:t>
      </w:r>
    </w:p>
    <w:p w:rsidR="00000000" w:rsidRPr="00EA4EE7" w:rsidRDefault="00692CCA">
      <w:pPr>
        <w:rPr>
          <w:rFonts w:asciiTheme="minorHAnsi" w:hAnsiTheme="minorHAnsi"/>
        </w:rPr>
      </w:pPr>
    </w:p>
    <w:p w:rsidR="00000000" w:rsidRPr="00EA4EE7" w:rsidRDefault="00692CCA">
      <w:pPr>
        <w:rPr>
          <w:rFonts w:asciiTheme="minorHAnsi" w:hAnsiTheme="minorHAnsi"/>
        </w:rPr>
      </w:pPr>
      <w:r w:rsidRPr="00EA4EE7">
        <w:rPr>
          <w:rFonts w:asciiTheme="minorHAnsi" w:hAnsiTheme="minorHAnsi"/>
        </w:rPr>
        <w:t>Citizens United filed a lawsuit against the FEC to allow it to advertise and broadcast the film.  The corporati</w:t>
      </w:r>
      <w:r w:rsidRPr="00EA4EE7">
        <w:rPr>
          <w:rFonts w:asciiTheme="minorHAnsi" w:hAnsiTheme="minorHAnsi"/>
        </w:rPr>
        <w:t>on claimed the BCRA’s limitations violated its First Amendment right to support a particular cause, and restricted its right to protected “political speech.”</w:t>
      </w:r>
    </w:p>
    <w:p w:rsidR="00000000" w:rsidRPr="00EA4EE7" w:rsidRDefault="00692CCA">
      <w:pPr>
        <w:rPr>
          <w:rFonts w:asciiTheme="minorHAnsi" w:hAnsiTheme="minorHAnsi"/>
        </w:rPr>
      </w:pPr>
    </w:p>
    <w:p w:rsidR="00000000" w:rsidRDefault="00692CCA">
      <w:pPr>
        <w:rPr>
          <w:rFonts w:asciiTheme="minorHAnsi" w:hAnsiTheme="minorHAnsi"/>
        </w:rPr>
      </w:pPr>
      <w:r w:rsidRPr="00EA4EE7">
        <w:rPr>
          <w:rFonts w:asciiTheme="minorHAnsi" w:hAnsiTheme="minorHAnsi"/>
        </w:rPr>
        <w:t xml:space="preserve">The lower court ruled </w:t>
      </w:r>
      <w:r w:rsidR="00EA4EE7">
        <w:rPr>
          <w:rFonts w:asciiTheme="minorHAnsi" w:hAnsiTheme="minorHAnsi"/>
        </w:rPr>
        <w:t xml:space="preserve">against </w:t>
      </w:r>
      <w:r w:rsidRPr="00EA4EE7">
        <w:rPr>
          <w:rFonts w:asciiTheme="minorHAnsi" w:hAnsiTheme="minorHAnsi"/>
        </w:rPr>
        <w:t>Citizens United</w:t>
      </w:r>
      <w:r w:rsidR="00EA4EE7">
        <w:rPr>
          <w:rFonts w:asciiTheme="minorHAnsi" w:hAnsiTheme="minorHAnsi"/>
        </w:rPr>
        <w:t xml:space="preserve">. </w:t>
      </w:r>
      <w:r w:rsidRPr="00EA4EE7">
        <w:rPr>
          <w:rFonts w:asciiTheme="minorHAnsi" w:hAnsiTheme="minorHAnsi"/>
        </w:rPr>
        <w:t xml:space="preserve"> </w:t>
      </w:r>
    </w:p>
    <w:p w:rsidR="00EA4EE7" w:rsidRPr="00EA4EE7" w:rsidRDefault="00EA4EE7">
      <w:pPr>
        <w:rPr>
          <w:rFonts w:asciiTheme="minorHAnsi" w:hAnsiTheme="minorHAnsi"/>
        </w:rPr>
      </w:pPr>
    </w:p>
    <w:p w:rsidR="00000000" w:rsidRPr="00EA4EE7" w:rsidRDefault="00692CCA">
      <w:pPr>
        <w:rPr>
          <w:rFonts w:asciiTheme="minorHAnsi" w:hAnsiTheme="minorHAnsi"/>
        </w:rPr>
      </w:pPr>
      <w:r w:rsidRPr="00EA4EE7">
        <w:rPr>
          <w:rFonts w:asciiTheme="minorHAnsi" w:hAnsiTheme="minorHAnsi"/>
          <w:b/>
        </w:rPr>
        <w:t>ISSUE</w:t>
      </w:r>
      <w:r w:rsidRPr="00EA4EE7">
        <w:rPr>
          <w:rFonts w:asciiTheme="minorHAnsi" w:hAnsiTheme="minorHAnsi"/>
        </w:rPr>
        <w:t>:  Were Ci</w:t>
      </w:r>
      <w:r w:rsidR="00EA4EE7">
        <w:rPr>
          <w:rFonts w:asciiTheme="minorHAnsi" w:hAnsiTheme="minorHAnsi"/>
        </w:rPr>
        <w:t>tizens United’s First Amendment</w:t>
      </w:r>
      <w:r w:rsidRPr="00EA4EE7">
        <w:rPr>
          <w:rFonts w:asciiTheme="minorHAnsi" w:hAnsiTheme="minorHAnsi"/>
        </w:rPr>
        <w:t xml:space="preserve"> rights </w:t>
      </w:r>
      <w:r w:rsidR="00EA4EE7">
        <w:rPr>
          <w:rFonts w:asciiTheme="minorHAnsi" w:hAnsiTheme="minorHAnsi"/>
        </w:rPr>
        <w:t xml:space="preserve">unconstitutionally </w:t>
      </w:r>
      <w:r w:rsidRPr="00EA4EE7">
        <w:rPr>
          <w:rFonts w:asciiTheme="minorHAnsi" w:hAnsiTheme="minorHAnsi"/>
        </w:rPr>
        <w:t>limited under the provisions of the BCRA?</w:t>
      </w:r>
    </w:p>
    <w:p w:rsidR="00000000" w:rsidRPr="00EA4EE7" w:rsidRDefault="00692CCA">
      <w:pPr>
        <w:rPr>
          <w:rFonts w:asciiTheme="minorHAnsi" w:hAnsiTheme="minorHAnsi"/>
        </w:rPr>
      </w:pPr>
    </w:p>
    <w:p w:rsidR="00000000" w:rsidRPr="00EA4EE7" w:rsidRDefault="00692CCA">
      <w:pPr>
        <w:rPr>
          <w:rFonts w:asciiTheme="minorHAnsi" w:hAnsiTheme="minorHAnsi"/>
        </w:rPr>
      </w:pPr>
      <w:r w:rsidRPr="00EA4EE7">
        <w:rPr>
          <w:rFonts w:asciiTheme="minorHAnsi" w:hAnsiTheme="minorHAnsi"/>
          <w:b/>
        </w:rPr>
        <w:t>DECISION</w:t>
      </w:r>
      <w:r w:rsidRPr="00EA4EE7">
        <w:rPr>
          <w:rFonts w:asciiTheme="minorHAnsi" w:hAnsiTheme="minorHAnsi"/>
        </w:rPr>
        <w:t>:  On a 5-4 vote, the Supreme Court decided that provisions of the BCRA that restricted use of corporations’ general treasur</w:t>
      </w:r>
      <w:r w:rsidRPr="00EA4EE7">
        <w:rPr>
          <w:rFonts w:asciiTheme="minorHAnsi" w:hAnsiTheme="minorHAnsi"/>
        </w:rPr>
        <w:t>y funds to expressly advocate the election of, or defeat of, any candidate were unconstitutional.  The Court was concerned that the effect of such a ban would chill – that is, discourage or deter – political speech.  Political speech is central to the Firs</w:t>
      </w:r>
      <w:r w:rsidRPr="00EA4EE7">
        <w:rPr>
          <w:rFonts w:asciiTheme="minorHAnsi" w:hAnsiTheme="minorHAnsi"/>
        </w:rPr>
        <w:t xml:space="preserve">t Amendment’s meaning and purpose. </w:t>
      </w:r>
    </w:p>
    <w:p w:rsidR="00000000" w:rsidRPr="00EA4EE7" w:rsidRDefault="00692CCA">
      <w:pPr>
        <w:rPr>
          <w:rFonts w:asciiTheme="minorHAnsi" w:hAnsiTheme="minorHAnsi"/>
        </w:rPr>
      </w:pPr>
    </w:p>
    <w:p w:rsidR="00000000" w:rsidRPr="00EA4EE7" w:rsidRDefault="00692CCA">
      <w:pPr>
        <w:rPr>
          <w:rFonts w:asciiTheme="minorHAnsi" w:hAnsiTheme="minorHAnsi"/>
        </w:rPr>
      </w:pPr>
      <w:r w:rsidRPr="00EA4EE7">
        <w:rPr>
          <w:rFonts w:asciiTheme="minorHAnsi" w:hAnsiTheme="minorHAnsi"/>
        </w:rPr>
        <w:t xml:space="preserve">The Court reasoned that because speech itself was of primary importance to the integrity of the election process, any speech arguably within the reach of rules created for regulating political </w:t>
      </w:r>
      <w:r w:rsidRPr="00EA4EE7">
        <w:rPr>
          <w:rFonts w:asciiTheme="minorHAnsi" w:hAnsiTheme="minorHAnsi"/>
        </w:rPr>
        <w:lastRenderedPageBreak/>
        <w:t xml:space="preserve">speech could be chilled.  </w:t>
      </w:r>
      <w:r w:rsidRPr="00EA4EE7">
        <w:rPr>
          <w:rFonts w:asciiTheme="minorHAnsi" w:hAnsiTheme="minorHAnsi"/>
        </w:rPr>
        <w:t xml:space="preserve">The effect of these restrictions would be the equivalent of a prior restraint preventing political advocacy, giving the FEC powers that the First Amendment was drafted to prohibit.  </w:t>
      </w:r>
      <w:r w:rsidRPr="00EA4EE7">
        <w:rPr>
          <w:rFonts w:asciiTheme="minorHAnsi" w:hAnsiTheme="minorHAnsi"/>
        </w:rPr>
        <w:t xml:space="preserve">The Court concluded that the BCRA’s limits on corporate independent expenditures were invalid because the law abridged the corporation’s freedom </w:t>
      </w:r>
      <w:r w:rsidRPr="00EA4EE7">
        <w:rPr>
          <w:rFonts w:asciiTheme="minorHAnsi" w:hAnsiTheme="minorHAnsi"/>
        </w:rPr>
        <w:t>of speech.   The Court concluded that because speech is an essential mechanism of democracy - it is the means to hold officials accountable to the people – political speech must prevail against laws that would suppress it by design or inadvertence.</w:t>
      </w:r>
    </w:p>
    <w:p w:rsidR="00000000" w:rsidRPr="00EA4EE7" w:rsidRDefault="00692CCA">
      <w:pPr>
        <w:rPr>
          <w:rFonts w:asciiTheme="minorHAnsi" w:hAnsiTheme="minorHAnsi"/>
        </w:rPr>
      </w:pPr>
    </w:p>
    <w:p w:rsidR="00000000" w:rsidRPr="00EA4EE7" w:rsidRDefault="00692CCA">
      <w:pPr>
        <w:rPr>
          <w:rFonts w:asciiTheme="minorHAnsi" w:hAnsiTheme="minorHAnsi"/>
        </w:rPr>
      </w:pPr>
      <w:r w:rsidRPr="00EA4EE7">
        <w:rPr>
          <w:rFonts w:asciiTheme="minorHAnsi" w:hAnsiTheme="minorHAnsi"/>
        </w:rPr>
        <w:t>The Su</w:t>
      </w:r>
      <w:r w:rsidRPr="00EA4EE7">
        <w:rPr>
          <w:rFonts w:asciiTheme="minorHAnsi" w:hAnsiTheme="minorHAnsi"/>
        </w:rPr>
        <w:t>preme Court instructed that laws burdening political speech are subject to strict scrutiny, which requires the government prove that the restriction “furthers a compelling interest and is narrowly tailored to achieve that interest.”  The Court found the BC</w:t>
      </w:r>
      <w:r w:rsidRPr="00EA4EE7">
        <w:rPr>
          <w:rFonts w:asciiTheme="minorHAnsi" w:hAnsiTheme="minorHAnsi"/>
        </w:rPr>
        <w:t>RA limits on corporate expenditures for political speech did not meet that standard.</w:t>
      </w:r>
    </w:p>
    <w:p w:rsidR="00000000" w:rsidRPr="00EA4EE7" w:rsidRDefault="00692CCA">
      <w:pPr>
        <w:rPr>
          <w:rFonts w:asciiTheme="minorHAnsi" w:hAnsiTheme="minorHAnsi"/>
        </w:rPr>
      </w:pPr>
    </w:p>
    <w:p w:rsidR="00000000" w:rsidRPr="00EA4EE7" w:rsidRDefault="00692CCA">
      <w:pPr>
        <w:rPr>
          <w:rFonts w:asciiTheme="minorHAnsi" w:hAnsiTheme="minorHAnsi"/>
        </w:rPr>
      </w:pPr>
      <w:r w:rsidRPr="00EA4EE7">
        <w:rPr>
          <w:rFonts w:asciiTheme="minorHAnsi" w:hAnsiTheme="minorHAnsi"/>
        </w:rPr>
        <w:t>The Court did uphold the BCRA’s disclosure requirement that donors to such political ads must be identified.  It also upheld the ban on direct contributions by corporatio</w:t>
      </w:r>
      <w:r w:rsidRPr="00EA4EE7">
        <w:rPr>
          <w:rFonts w:asciiTheme="minorHAnsi" w:hAnsiTheme="minorHAnsi"/>
        </w:rPr>
        <w:t>ns and unions to candidates.</w:t>
      </w:r>
    </w:p>
    <w:p w:rsidR="00000000" w:rsidRPr="00EA4EE7" w:rsidRDefault="00692CCA">
      <w:pPr>
        <w:rPr>
          <w:rFonts w:asciiTheme="minorHAnsi" w:hAnsiTheme="minorHAnsi"/>
        </w:rPr>
      </w:pPr>
    </w:p>
    <w:p w:rsidR="00000000" w:rsidRPr="00EA4EE7" w:rsidRDefault="00692CCA">
      <w:pPr>
        <w:rPr>
          <w:rFonts w:asciiTheme="minorHAnsi" w:hAnsiTheme="minorHAnsi"/>
        </w:rPr>
      </w:pPr>
      <w:r w:rsidRPr="00EA4EE7">
        <w:rPr>
          <w:rFonts w:asciiTheme="minorHAnsi" w:hAnsiTheme="minorHAnsi"/>
          <w:b/>
        </w:rPr>
        <w:t>CONCLUSION</w:t>
      </w:r>
      <w:r w:rsidRPr="00EA4EE7">
        <w:rPr>
          <w:rFonts w:asciiTheme="minorHAnsi" w:hAnsiTheme="minorHAnsi"/>
        </w:rPr>
        <w:t xml:space="preserve">:  </w:t>
      </w:r>
    </w:p>
    <w:p w:rsidR="00000000" w:rsidRPr="00EA4EE7" w:rsidRDefault="00692CCA">
      <w:pPr>
        <w:rPr>
          <w:rFonts w:asciiTheme="minorHAnsi" w:hAnsiTheme="minorHAnsi"/>
        </w:rPr>
      </w:pPr>
    </w:p>
    <w:p w:rsidR="00000000" w:rsidRPr="00EA4EE7" w:rsidRDefault="00692CCA">
      <w:pPr>
        <w:rPr>
          <w:rFonts w:asciiTheme="minorHAnsi" w:hAnsiTheme="minorHAnsi"/>
        </w:rPr>
      </w:pPr>
      <w:r w:rsidRPr="00EA4EE7">
        <w:rPr>
          <w:rFonts w:asciiTheme="minorHAnsi" w:hAnsiTheme="minorHAnsi"/>
        </w:rPr>
        <w:t xml:space="preserve"> In this case, the Court reversed its 1990 </w:t>
      </w:r>
      <w:r w:rsidRPr="00EA4EE7">
        <w:rPr>
          <w:rFonts w:asciiTheme="minorHAnsi" w:hAnsiTheme="minorHAnsi"/>
          <w:i/>
        </w:rPr>
        <w:t>Austen</w:t>
      </w:r>
      <w:r w:rsidRPr="00EA4EE7">
        <w:rPr>
          <w:rFonts w:asciiTheme="minorHAnsi" w:hAnsiTheme="minorHAnsi"/>
        </w:rPr>
        <w:t xml:space="preserve"> decision that allowed restrictions on corporate and union contributions that would expressly advocate for the election or defeat of any candidate.  The Citizens </w:t>
      </w:r>
      <w:r w:rsidRPr="00EA4EE7">
        <w:rPr>
          <w:rFonts w:asciiTheme="minorHAnsi" w:hAnsiTheme="minorHAnsi"/>
        </w:rPr>
        <w:t xml:space="preserve">United decision put corporations on the same footing as natural persons as to exercising their rights </w:t>
      </w:r>
      <w:r w:rsidR="00DF141F">
        <w:rPr>
          <w:rFonts w:asciiTheme="minorHAnsi" w:hAnsiTheme="minorHAnsi"/>
        </w:rPr>
        <w:t>to engage in political advocacy regarding specific candidates.</w:t>
      </w:r>
      <w:r w:rsidRPr="00EA4EE7">
        <w:rPr>
          <w:rFonts w:asciiTheme="minorHAnsi" w:hAnsiTheme="minorHAnsi"/>
        </w:rPr>
        <w:t xml:space="preserve">  The future concern regarding the impact of the Citizens United case is whether the amount of cash contributions to polit</w:t>
      </w:r>
      <w:r w:rsidRPr="00EA4EE7">
        <w:rPr>
          <w:rFonts w:asciiTheme="minorHAnsi" w:hAnsiTheme="minorHAnsi"/>
        </w:rPr>
        <w:t>ical campaigns that are now allowed from large, wealthy corporations will unfairly tip the election playing field in favor of corporate interests.</w:t>
      </w:r>
    </w:p>
    <w:p w:rsidR="00692CCA" w:rsidRPr="00EA4EE7" w:rsidRDefault="00692CCA">
      <w:pPr>
        <w:rPr>
          <w:rFonts w:asciiTheme="minorHAnsi" w:hAnsiTheme="minorHAnsi"/>
        </w:rPr>
      </w:pPr>
    </w:p>
    <w:sectPr w:rsidR="00692CCA" w:rsidRPr="00EA4E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CA" w:rsidRDefault="00692CCA" w:rsidP="000F1B0B">
      <w:r>
        <w:separator/>
      </w:r>
    </w:p>
  </w:endnote>
  <w:endnote w:type="continuationSeparator" w:id="0">
    <w:p w:rsidR="00692CCA" w:rsidRDefault="00692CCA" w:rsidP="000F1B0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0B" w:rsidRDefault="000F1B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0B" w:rsidRPr="000F1B0B" w:rsidRDefault="000F1B0B" w:rsidP="000F1B0B">
    <w:pPr>
      <w:pStyle w:val="Footer"/>
      <w:rPr>
        <w:rFonts w:asciiTheme="minorHAnsi" w:hAnsiTheme="minorHAnsi"/>
        <w:color w:val="595959" w:themeColor="text1" w:themeTint="A6"/>
        <w:sz w:val="22"/>
        <w:szCs w:val="22"/>
      </w:rPr>
    </w:pPr>
    <w:r w:rsidRPr="000F1B0B">
      <w:rPr>
        <w:rFonts w:asciiTheme="minorHAnsi" w:hAnsiTheme="minorHAnsi"/>
        <w:color w:val="595959" w:themeColor="text1" w:themeTint="A6"/>
        <w:sz w:val="22"/>
        <w:szCs w:val="22"/>
      </w:rPr>
      <w:t>FIELD TEST Fall 2010 Not for Distribution</w:t>
    </w:r>
    <w:r w:rsidRPr="000F1B0B">
      <w:rPr>
        <w:rFonts w:asciiTheme="minorHAnsi" w:hAnsiTheme="minorHAnsi"/>
        <w:color w:val="595959" w:themeColor="text1" w:themeTint="A6"/>
        <w:sz w:val="22"/>
        <w:szCs w:val="22"/>
      </w:rPr>
      <w:tab/>
    </w:r>
    <w:r w:rsidRPr="000F1B0B">
      <w:rPr>
        <w:rFonts w:asciiTheme="minorHAnsi" w:hAnsiTheme="minorHAnsi"/>
        <w:color w:val="595959" w:themeColor="text1" w:themeTint="A6"/>
        <w:sz w:val="22"/>
        <w:szCs w:val="22"/>
      </w:rPr>
      <w:tab/>
    </w:r>
    <w:r w:rsidRPr="000F1B0B">
      <w:rPr>
        <w:rFonts w:asciiTheme="minorHAnsi" w:hAnsiTheme="minorHAnsi"/>
        <w:color w:val="595959" w:themeColor="text1" w:themeTint="A6"/>
        <w:sz w:val="22"/>
        <w:szCs w:val="22"/>
      </w:rPr>
      <w:fldChar w:fldCharType="begin"/>
    </w:r>
    <w:r w:rsidRPr="000F1B0B">
      <w:rPr>
        <w:rFonts w:asciiTheme="minorHAnsi" w:hAnsiTheme="minorHAnsi"/>
        <w:color w:val="595959" w:themeColor="text1" w:themeTint="A6"/>
        <w:sz w:val="22"/>
        <w:szCs w:val="22"/>
      </w:rPr>
      <w:instrText xml:space="preserve"> PAGE   \* MERGEFORMAT </w:instrText>
    </w:r>
    <w:r w:rsidRPr="000F1B0B">
      <w:rPr>
        <w:rFonts w:asciiTheme="minorHAnsi" w:hAnsiTheme="minorHAnsi"/>
        <w:color w:val="595959" w:themeColor="text1" w:themeTint="A6"/>
        <w:sz w:val="22"/>
        <w:szCs w:val="22"/>
      </w:rPr>
      <w:fldChar w:fldCharType="separate"/>
    </w:r>
    <w:r>
      <w:rPr>
        <w:rFonts w:asciiTheme="minorHAnsi" w:hAnsiTheme="minorHAnsi"/>
        <w:noProof/>
        <w:color w:val="595959" w:themeColor="text1" w:themeTint="A6"/>
        <w:sz w:val="22"/>
        <w:szCs w:val="22"/>
      </w:rPr>
      <w:t>1</w:t>
    </w:r>
    <w:r w:rsidRPr="000F1B0B">
      <w:rPr>
        <w:rFonts w:asciiTheme="minorHAnsi" w:hAnsiTheme="minorHAnsi"/>
        <w:color w:val="595959" w:themeColor="text1" w:themeTint="A6"/>
        <w:sz w:val="22"/>
        <w:szCs w:val="22"/>
      </w:rPr>
      <w:fldChar w:fldCharType="end"/>
    </w:r>
  </w:p>
  <w:p w:rsidR="000F1B0B" w:rsidRDefault="000F1B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0B" w:rsidRDefault="000F1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CA" w:rsidRDefault="00692CCA" w:rsidP="000F1B0B">
      <w:r>
        <w:separator/>
      </w:r>
    </w:p>
  </w:footnote>
  <w:footnote w:type="continuationSeparator" w:id="0">
    <w:p w:rsidR="00692CCA" w:rsidRDefault="00692CCA" w:rsidP="000F1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0B" w:rsidRDefault="000F1B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0B" w:rsidRPr="000F1B0B" w:rsidRDefault="000F1B0B" w:rsidP="000F1B0B">
    <w:pPr>
      <w:pStyle w:val="Header"/>
      <w:tabs>
        <w:tab w:val="left" w:pos="187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F1B0B">
      <w:rPr>
        <w:rFonts w:asciiTheme="minorHAnsi" w:hAnsiTheme="minorHAnsi"/>
        <w:sz w:val="22"/>
        <w:szCs w:val="22"/>
      </w:rPr>
      <w:t>STUDENT HANDOUT: Citizens United v. FEC</w:t>
    </w:r>
  </w:p>
  <w:p w:rsidR="000F1B0B" w:rsidRDefault="000F1B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0B" w:rsidRDefault="000F1B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CF7"/>
    <w:rsid w:val="000F1B0B"/>
    <w:rsid w:val="00282CF7"/>
    <w:rsid w:val="00692CCA"/>
    <w:rsid w:val="00DF141F"/>
    <w:rsid w:val="00EA4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B0B"/>
    <w:pPr>
      <w:tabs>
        <w:tab w:val="center" w:pos="4680"/>
        <w:tab w:val="right" w:pos="9360"/>
      </w:tabs>
    </w:pPr>
  </w:style>
  <w:style w:type="character" w:customStyle="1" w:styleId="HeaderChar">
    <w:name w:val="Header Char"/>
    <w:basedOn w:val="DefaultParagraphFont"/>
    <w:link w:val="Header"/>
    <w:uiPriority w:val="99"/>
    <w:rsid w:val="000F1B0B"/>
    <w:rPr>
      <w:sz w:val="24"/>
      <w:szCs w:val="24"/>
    </w:rPr>
  </w:style>
  <w:style w:type="paragraph" w:styleId="Footer">
    <w:name w:val="footer"/>
    <w:basedOn w:val="Normal"/>
    <w:link w:val="FooterChar"/>
    <w:uiPriority w:val="99"/>
    <w:unhideWhenUsed/>
    <w:rsid w:val="000F1B0B"/>
    <w:pPr>
      <w:tabs>
        <w:tab w:val="center" w:pos="4680"/>
        <w:tab w:val="right" w:pos="9360"/>
      </w:tabs>
    </w:pPr>
  </w:style>
  <w:style w:type="character" w:customStyle="1" w:styleId="FooterChar">
    <w:name w:val="Footer Char"/>
    <w:basedOn w:val="DefaultParagraphFont"/>
    <w:link w:val="Footer"/>
    <w:uiPriority w:val="99"/>
    <w:rsid w:val="000F1B0B"/>
    <w:rPr>
      <w:sz w:val="24"/>
      <w:szCs w:val="24"/>
    </w:rPr>
  </w:style>
  <w:style w:type="paragraph" w:styleId="BalloonText">
    <w:name w:val="Balloon Text"/>
    <w:basedOn w:val="Normal"/>
    <w:link w:val="BalloonTextChar"/>
    <w:uiPriority w:val="99"/>
    <w:semiHidden/>
    <w:unhideWhenUsed/>
    <w:rsid w:val="000F1B0B"/>
    <w:rPr>
      <w:rFonts w:ascii="Tahoma" w:hAnsi="Tahoma" w:cs="Tahoma"/>
      <w:sz w:val="16"/>
      <w:szCs w:val="16"/>
    </w:rPr>
  </w:style>
  <w:style w:type="character" w:customStyle="1" w:styleId="BalloonTextChar">
    <w:name w:val="Balloon Text Char"/>
    <w:basedOn w:val="DefaultParagraphFont"/>
    <w:link w:val="BalloonText"/>
    <w:uiPriority w:val="99"/>
    <w:semiHidden/>
    <w:rsid w:val="000F1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Citizens United v</vt:lpstr>
    </vt:vector>
  </TitlesOfParts>
  <Company>Microsoft</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United v</dc:title>
  <dc:creator>Shannon Plunkett</dc:creator>
  <cp:lastModifiedBy>Jennifer</cp:lastModifiedBy>
  <cp:revision>3</cp:revision>
  <dcterms:created xsi:type="dcterms:W3CDTF">2010-11-15T22:43:00Z</dcterms:created>
  <dcterms:modified xsi:type="dcterms:W3CDTF">2010-11-15T22:45:00Z</dcterms:modified>
</cp:coreProperties>
</file>